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1732D" w14:textId="77777777" w:rsidR="005B4BA9" w:rsidRDefault="0019584D">
      <w:pPr>
        <w:pStyle w:val="Textoindependiente"/>
        <w:ind w:left="1"/>
        <w:rPr>
          <w:rFonts w:ascii="Times New Roman"/>
          <w:sz w:val="20"/>
        </w:rPr>
      </w:pPr>
      <w:r>
        <w:rPr>
          <w:rFonts w:ascii="Times New Roman"/>
          <w:noProof/>
          <w:sz w:val="20"/>
        </w:rPr>
        <w:drawing>
          <wp:inline distT="0" distB="0" distL="0" distR="0" wp14:anchorId="09C2A3A2" wp14:editId="0B0C3F1E">
            <wp:extent cx="5429334" cy="694372"/>
            <wp:effectExtent l="0" t="0" r="0" b="0"/>
            <wp:docPr id="2" name="Image 2" descr="Interfaz de usuario gráfica  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Interfaz de usuario gráfica  El contenido generado por IA puede ser incorrecto."/>
                    <pic:cNvPicPr/>
                  </pic:nvPicPr>
                  <pic:blipFill>
                    <a:blip r:embed="rId10" cstate="print"/>
                    <a:stretch>
                      <a:fillRect/>
                    </a:stretch>
                  </pic:blipFill>
                  <pic:spPr>
                    <a:xfrm>
                      <a:off x="0" y="0"/>
                      <a:ext cx="5429334" cy="694372"/>
                    </a:xfrm>
                    <a:prstGeom prst="rect">
                      <a:avLst/>
                    </a:prstGeom>
                  </pic:spPr>
                </pic:pic>
              </a:graphicData>
            </a:graphic>
          </wp:inline>
        </w:drawing>
      </w:r>
    </w:p>
    <w:p w14:paraId="635C7D62" w14:textId="77777777" w:rsidR="005B4BA9" w:rsidRDefault="005B4BA9">
      <w:pPr>
        <w:pStyle w:val="Textoindependiente"/>
        <w:rPr>
          <w:rFonts w:ascii="Times New Roman"/>
        </w:rPr>
      </w:pPr>
    </w:p>
    <w:p w14:paraId="6E42F1FD" w14:textId="77777777" w:rsidR="005B4BA9" w:rsidRDefault="005B4BA9">
      <w:pPr>
        <w:pStyle w:val="Textoindependiente"/>
        <w:spacing w:before="121"/>
        <w:rPr>
          <w:rFonts w:ascii="Times New Roman"/>
        </w:rPr>
      </w:pPr>
    </w:p>
    <w:p w14:paraId="194A6B80" w14:textId="5EBE9B80" w:rsidR="005B4BA9" w:rsidRDefault="00A715B2">
      <w:pPr>
        <w:pStyle w:val="Ttulo1"/>
      </w:pPr>
      <w:r>
        <w:rPr>
          <w:color w:val="ED0000"/>
          <w:w w:val="80"/>
        </w:rPr>
        <w:t>MAYO</w:t>
      </w:r>
      <w:r w:rsidR="0019584D">
        <w:rPr>
          <w:color w:val="ED0000"/>
          <w:spacing w:val="-6"/>
        </w:rPr>
        <w:t xml:space="preserve"> </w:t>
      </w:r>
      <w:r w:rsidR="0019584D">
        <w:rPr>
          <w:color w:val="ED0000"/>
          <w:spacing w:val="-4"/>
          <w:w w:val="90"/>
        </w:rPr>
        <w:t>2025</w:t>
      </w:r>
    </w:p>
    <w:p w14:paraId="570AD940" w14:textId="77777777" w:rsidR="005B4BA9" w:rsidRDefault="005B4BA9">
      <w:pPr>
        <w:pStyle w:val="Textoindependiente"/>
        <w:rPr>
          <w:rFonts w:ascii="Arial"/>
          <w:b/>
        </w:rPr>
      </w:pPr>
    </w:p>
    <w:p w14:paraId="563D5E97" w14:textId="77777777" w:rsidR="005B4BA9" w:rsidRDefault="005B4BA9">
      <w:pPr>
        <w:pStyle w:val="Textoindependiente"/>
        <w:spacing w:before="125"/>
        <w:rPr>
          <w:rFonts w:ascii="Arial"/>
          <w:b/>
        </w:rPr>
      </w:pPr>
    </w:p>
    <w:p w14:paraId="0B62A7BE" w14:textId="14E62461" w:rsidR="005B4BA9" w:rsidRDefault="0019584D">
      <w:pPr>
        <w:ind w:left="2"/>
        <w:rPr>
          <w:rFonts w:ascii="Arial"/>
          <w:b/>
          <w:sz w:val="24"/>
        </w:rPr>
      </w:pPr>
      <w:r>
        <w:rPr>
          <w:rFonts w:ascii="Arial"/>
          <w:b/>
          <w:color w:val="001F5F"/>
          <w:w w:val="80"/>
          <w:sz w:val="24"/>
        </w:rPr>
        <w:t>CONSULT</w:t>
      </w:r>
      <w:r w:rsidR="00A715B2">
        <w:rPr>
          <w:rFonts w:ascii="Arial"/>
          <w:b/>
          <w:color w:val="001F5F"/>
          <w:w w:val="80"/>
          <w:sz w:val="24"/>
        </w:rPr>
        <w:t>A SOCIETARIA</w:t>
      </w:r>
      <w:r>
        <w:rPr>
          <w:rFonts w:ascii="Arial"/>
          <w:b/>
          <w:color w:val="001F5F"/>
          <w:spacing w:val="-2"/>
          <w:w w:val="90"/>
          <w:sz w:val="24"/>
        </w:rPr>
        <w:t>:</w:t>
      </w:r>
    </w:p>
    <w:p w14:paraId="62C9D22D" w14:textId="77777777" w:rsidR="005B4BA9" w:rsidRDefault="005B4BA9">
      <w:pPr>
        <w:pStyle w:val="Textoindependiente"/>
        <w:rPr>
          <w:rFonts w:ascii="Arial"/>
          <w:b/>
        </w:rPr>
      </w:pPr>
    </w:p>
    <w:p w14:paraId="7391045A" w14:textId="77777777" w:rsidR="005B4BA9" w:rsidRDefault="005B4BA9">
      <w:pPr>
        <w:pStyle w:val="Textoindependiente"/>
        <w:spacing w:before="245"/>
        <w:rPr>
          <w:rFonts w:ascii="Arial"/>
          <w:b/>
        </w:rPr>
      </w:pPr>
    </w:p>
    <w:p w14:paraId="1D60E224" w14:textId="78466547" w:rsidR="005B4BA9" w:rsidRDefault="00F230EE" w:rsidP="00F230EE">
      <w:pPr>
        <w:pStyle w:val="Ttulo1"/>
        <w:spacing w:line="259" w:lineRule="auto"/>
        <w:jc w:val="center"/>
      </w:pPr>
      <w:r w:rsidRPr="00F230EE">
        <w:rPr>
          <w:color w:val="ED0000"/>
          <w:w w:val="80"/>
        </w:rPr>
        <w:t>LA DISOLUCIÓN Y REACTIVACIÓN DE COMPAÑÍAS</w:t>
      </w:r>
    </w:p>
    <w:p w14:paraId="28D032DB" w14:textId="77777777" w:rsidR="005B4BA9" w:rsidRDefault="005B4BA9">
      <w:pPr>
        <w:pStyle w:val="Textoindependiente"/>
        <w:spacing w:before="2"/>
        <w:rPr>
          <w:rFonts w:ascii="Arial"/>
          <w:b/>
        </w:rPr>
      </w:pPr>
    </w:p>
    <w:p w14:paraId="563BC2BD" w14:textId="77777777" w:rsidR="005B4BA9" w:rsidRDefault="0019584D">
      <w:pPr>
        <w:pStyle w:val="Ttulo2"/>
      </w:pPr>
      <w:r>
        <w:rPr>
          <w:color w:val="001F5F"/>
          <w:spacing w:val="-2"/>
          <w:w w:val="90"/>
        </w:rPr>
        <w:t>Ámbito:</w:t>
      </w:r>
    </w:p>
    <w:p w14:paraId="4DAABBEE" w14:textId="77777777" w:rsidR="005B4BA9" w:rsidRDefault="005B4BA9">
      <w:pPr>
        <w:pStyle w:val="Textoindependiente"/>
        <w:spacing w:before="26"/>
        <w:rPr>
          <w:rFonts w:ascii="Arial"/>
          <w:b/>
        </w:rPr>
      </w:pPr>
    </w:p>
    <w:p w14:paraId="2DD2EC13" w14:textId="2A5723DF" w:rsidR="00F230EE" w:rsidRPr="00F230EE" w:rsidRDefault="00F230EE" w:rsidP="00F230EE">
      <w:pPr>
        <w:spacing w:line="259" w:lineRule="auto"/>
        <w:ind w:left="2" w:right="136"/>
        <w:jc w:val="both"/>
        <w:rPr>
          <w:w w:val="80"/>
          <w:sz w:val="24"/>
        </w:rPr>
      </w:pPr>
      <w:r w:rsidRPr="00F230EE">
        <w:rPr>
          <w:w w:val="80"/>
          <w:sz w:val="24"/>
        </w:rPr>
        <w:t>En el ejercicio empresarial, la disolución de compañías es una de las situaciones jurídicas más delicadas, pues marca el inicio del fin de la sociedad y la liquidación de su patrimonio. Sin embargo, la legislación ecuatoriana reconoce que no todas las disoluciones deben ser definitivas. Por ello, la Ley de Compañías regula la figura de la reactivación, que permite a las sociedades con problemas coyunturales reanudar su actividad y preservar su personalidad jurídica.</w:t>
      </w:r>
    </w:p>
    <w:p w14:paraId="39E8141B" w14:textId="54011424" w:rsidR="005B4BA9" w:rsidRDefault="00F230EE" w:rsidP="00F230EE">
      <w:pPr>
        <w:spacing w:line="259" w:lineRule="auto"/>
        <w:ind w:left="2" w:right="136"/>
        <w:jc w:val="both"/>
      </w:pPr>
      <w:r w:rsidRPr="00F230EE">
        <w:rPr>
          <w:w w:val="80"/>
          <w:sz w:val="24"/>
        </w:rPr>
        <w:t>Esto constituye una herramienta clave para la protección de la inversión privada, la conservación del empleo y la estabilidad del sistema económico.</w:t>
      </w:r>
    </w:p>
    <w:p w14:paraId="17581618" w14:textId="77777777" w:rsidR="005B4BA9" w:rsidRDefault="005B4BA9">
      <w:pPr>
        <w:pStyle w:val="Textoindependiente"/>
      </w:pPr>
    </w:p>
    <w:p w14:paraId="295458BB" w14:textId="77777777" w:rsidR="005B4BA9" w:rsidRDefault="005B4BA9">
      <w:pPr>
        <w:pStyle w:val="Textoindependiente"/>
        <w:spacing w:before="25"/>
      </w:pPr>
    </w:p>
    <w:p w14:paraId="23DCD8C0" w14:textId="77777777" w:rsidR="005B4BA9" w:rsidRDefault="0019584D">
      <w:pPr>
        <w:pStyle w:val="Ttulo2"/>
      </w:pPr>
      <w:r>
        <w:rPr>
          <w:color w:val="001F5F"/>
          <w:spacing w:val="-2"/>
          <w:w w:val="90"/>
        </w:rPr>
        <w:t>Antecedente:</w:t>
      </w:r>
    </w:p>
    <w:p w14:paraId="6A73F6EB" w14:textId="77777777" w:rsidR="005B4BA9" w:rsidRDefault="005B4BA9">
      <w:pPr>
        <w:pStyle w:val="Textoindependiente"/>
        <w:spacing w:before="27"/>
        <w:rPr>
          <w:rFonts w:ascii="Arial"/>
          <w:b/>
        </w:rPr>
      </w:pPr>
    </w:p>
    <w:p w14:paraId="4DA834FD" w14:textId="77777777" w:rsidR="00F230EE" w:rsidRDefault="00F230EE" w:rsidP="00F230EE">
      <w:pPr>
        <w:pStyle w:val="Textoindependiente"/>
        <w:spacing w:line="259" w:lineRule="auto"/>
        <w:ind w:left="2" w:right="138"/>
        <w:jc w:val="both"/>
        <w:rPr>
          <w:w w:val="85"/>
        </w:rPr>
      </w:pPr>
      <w:r w:rsidRPr="00F230EE">
        <w:rPr>
          <w:w w:val="85"/>
        </w:rPr>
        <w:t>Históricamente, la disolución implicaba un proceso irreversible que culminaba con la extinción de la sociedad en el Registro Mercantil.</w:t>
      </w:r>
      <w:r>
        <w:rPr>
          <w:w w:val="85"/>
        </w:rPr>
        <w:t xml:space="preserve"> La </w:t>
      </w:r>
      <w:r w:rsidRPr="00F230EE">
        <w:rPr>
          <w:w w:val="85"/>
        </w:rPr>
        <w:t>Ley de Compañías, estableció un mecanismo de reactivación que busca rescatar empresas viables, dándoles una segunda oportunidad antes de su cancelación definitiva</w:t>
      </w:r>
    </w:p>
    <w:p w14:paraId="4AF5FFF3" w14:textId="34495AB0" w:rsidR="00F230EE" w:rsidRPr="00F230EE" w:rsidRDefault="00F230EE" w:rsidP="00F230EE">
      <w:pPr>
        <w:pStyle w:val="Textoindependiente"/>
        <w:spacing w:line="259" w:lineRule="auto"/>
        <w:ind w:left="2" w:right="138"/>
        <w:jc w:val="both"/>
        <w:rPr>
          <w:w w:val="85"/>
        </w:rPr>
      </w:pPr>
      <w:r w:rsidRPr="00F230EE">
        <w:rPr>
          <w:w w:val="85"/>
        </w:rPr>
        <w:t>La disolución puede originarse en:</w:t>
      </w:r>
    </w:p>
    <w:p w14:paraId="0723884E" w14:textId="1A5E8ED9" w:rsidR="00F230EE" w:rsidRPr="00F230EE" w:rsidRDefault="00F230EE" w:rsidP="00F230EE">
      <w:pPr>
        <w:pStyle w:val="Textoindependiente"/>
        <w:numPr>
          <w:ilvl w:val="0"/>
          <w:numId w:val="10"/>
        </w:numPr>
        <w:spacing w:line="259" w:lineRule="auto"/>
        <w:ind w:right="138"/>
        <w:jc w:val="both"/>
        <w:rPr>
          <w:w w:val="85"/>
        </w:rPr>
      </w:pPr>
      <w:r w:rsidRPr="00F230EE">
        <w:rPr>
          <w:w w:val="85"/>
        </w:rPr>
        <w:t>Causales estatutarias: expiración del plazo social, decisión voluntaria de los socios.</w:t>
      </w:r>
    </w:p>
    <w:p w14:paraId="5FEDDD66" w14:textId="052D0995" w:rsidR="00F230EE" w:rsidRPr="00F230EE" w:rsidRDefault="00F230EE" w:rsidP="00F230EE">
      <w:pPr>
        <w:pStyle w:val="Textoindependiente"/>
        <w:numPr>
          <w:ilvl w:val="0"/>
          <w:numId w:val="10"/>
        </w:numPr>
        <w:spacing w:line="259" w:lineRule="auto"/>
        <w:ind w:right="138"/>
        <w:jc w:val="both"/>
        <w:rPr>
          <w:w w:val="85"/>
        </w:rPr>
      </w:pPr>
      <w:r w:rsidRPr="00F230EE">
        <w:rPr>
          <w:w w:val="85"/>
        </w:rPr>
        <w:t>Causales legales: pérdidas del 50 % o más del capital, inactividad prolongada, incumplimientos normativos.</w:t>
      </w:r>
    </w:p>
    <w:p w14:paraId="5D22351A" w14:textId="6417C7E9" w:rsidR="005B4BA9" w:rsidRDefault="00F230EE" w:rsidP="00F230EE">
      <w:pPr>
        <w:pStyle w:val="Textoindependiente"/>
        <w:numPr>
          <w:ilvl w:val="0"/>
          <w:numId w:val="10"/>
        </w:numPr>
        <w:spacing w:line="259" w:lineRule="auto"/>
        <w:ind w:right="138"/>
        <w:jc w:val="both"/>
      </w:pPr>
      <w:r w:rsidRPr="00F230EE">
        <w:rPr>
          <w:w w:val="85"/>
        </w:rPr>
        <w:t xml:space="preserve">Causales administrativas: resolución de la Superintendencia de Compañías, Valores y Seguros (SCVS) por infracciones </w:t>
      </w:r>
      <w:proofErr w:type="gramStart"/>
      <w:r w:rsidRPr="00F230EE">
        <w:rPr>
          <w:w w:val="85"/>
        </w:rPr>
        <w:t>graves..</w:t>
      </w:r>
      <w:proofErr w:type="gramEnd"/>
    </w:p>
    <w:p w14:paraId="045C1139" w14:textId="77777777" w:rsidR="005B4BA9" w:rsidRDefault="005B4BA9">
      <w:pPr>
        <w:pStyle w:val="Textoindependiente"/>
      </w:pPr>
    </w:p>
    <w:p w14:paraId="5B0D64F6" w14:textId="77777777" w:rsidR="005B4BA9" w:rsidRDefault="005B4BA9">
      <w:pPr>
        <w:pStyle w:val="Textoindependiente"/>
        <w:spacing w:before="24"/>
      </w:pPr>
    </w:p>
    <w:p w14:paraId="2BE7267B" w14:textId="792A2EB0" w:rsidR="005B4BA9" w:rsidRDefault="00F230EE">
      <w:pPr>
        <w:pStyle w:val="Ttulo2"/>
      </w:pPr>
      <w:r>
        <w:rPr>
          <w:color w:val="001F5F"/>
          <w:w w:val="80"/>
        </w:rPr>
        <w:t>Fundamento Legal</w:t>
      </w:r>
      <w:r w:rsidR="0019584D">
        <w:rPr>
          <w:color w:val="001F5F"/>
          <w:spacing w:val="-2"/>
          <w:w w:val="80"/>
        </w:rPr>
        <w:t>:</w:t>
      </w:r>
    </w:p>
    <w:p w14:paraId="5DBC12DA" w14:textId="77777777" w:rsidR="005B4BA9" w:rsidRDefault="005B4BA9">
      <w:pPr>
        <w:pStyle w:val="Textoindependiente"/>
        <w:spacing w:before="27"/>
        <w:rPr>
          <w:rFonts w:ascii="Arial"/>
          <w:b/>
        </w:rPr>
      </w:pPr>
    </w:p>
    <w:p w14:paraId="366BB83D" w14:textId="3E3B5ACD" w:rsidR="00F230EE" w:rsidRDefault="00F230EE" w:rsidP="00F230EE">
      <w:pPr>
        <w:tabs>
          <w:tab w:val="left" w:pos="721"/>
        </w:tabs>
        <w:spacing w:before="1"/>
        <w:rPr>
          <w:rFonts w:ascii="Arial" w:hAnsi="Arial"/>
          <w:w w:val="80"/>
          <w:sz w:val="24"/>
        </w:rPr>
      </w:pPr>
      <w:r>
        <w:rPr>
          <w:rFonts w:ascii="Arial" w:hAnsi="Arial"/>
          <w:w w:val="80"/>
          <w:sz w:val="24"/>
        </w:rPr>
        <w:t xml:space="preserve">La </w:t>
      </w:r>
      <w:r w:rsidRPr="00F230EE">
        <w:rPr>
          <w:rFonts w:ascii="Arial" w:hAnsi="Arial"/>
          <w:w w:val="80"/>
          <w:sz w:val="24"/>
        </w:rPr>
        <w:t>Ley de Compañ</w:t>
      </w:r>
      <w:r>
        <w:rPr>
          <w:rFonts w:ascii="Arial" w:hAnsi="Arial"/>
          <w:w w:val="80"/>
          <w:sz w:val="24"/>
        </w:rPr>
        <w:t>í</w:t>
      </w:r>
      <w:r w:rsidRPr="00F230EE">
        <w:rPr>
          <w:rFonts w:ascii="Arial" w:hAnsi="Arial"/>
          <w:w w:val="80"/>
          <w:sz w:val="24"/>
        </w:rPr>
        <w:t>as</w:t>
      </w:r>
      <w:r>
        <w:rPr>
          <w:rFonts w:ascii="Arial" w:hAnsi="Arial"/>
          <w:w w:val="80"/>
          <w:sz w:val="24"/>
        </w:rPr>
        <w:t xml:space="preserve"> establece:</w:t>
      </w:r>
    </w:p>
    <w:p w14:paraId="186A21AE" w14:textId="77777777" w:rsidR="00C9483C" w:rsidRPr="00C9483C" w:rsidRDefault="00F230EE" w:rsidP="00C9483C">
      <w:pPr>
        <w:pStyle w:val="Prrafodelista"/>
        <w:numPr>
          <w:ilvl w:val="0"/>
          <w:numId w:val="10"/>
        </w:numPr>
        <w:tabs>
          <w:tab w:val="left" w:pos="721"/>
        </w:tabs>
        <w:spacing w:before="1"/>
        <w:rPr>
          <w:rFonts w:ascii="Arial" w:hAnsi="Arial"/>
          <w:sz w:val="24"/>
        </w:rPr>
      </w:pPr>
      <w:r>
        <w:rPr>
          <w:rFonts w:ascii="Arial" w:hAnsi="Arial"/>
          <w:w w:val="80"/>
          <w:sz w:val="24"/>
        </w:rPr>
        <w:t>Causales de disolución, efectos y procedimiento de liquidación desde el artículo 361 hasta el artículo 373</w:t>
      </w:r>
    </w:p>
    <w:p w14:paraId="00EB7051" w14:textId="1777C0E0" w:rsidR="005B4BA9" w:rsidRPr="00C9483C" w:rsidRDefault="00C9483C" w:rsidP="00C9483C">
      <w:pPr>
        <w:pStyle w:val="Prrafodelista"/>
        <w:numPr>
          <w:ilvl w:val="0"/>
          <w:numId w:val="10"/>
        </w:numPr>
        <w:tabs>
          <w:tab w:val="left" w:pos="721"/>
        </w:tabs>
        <w:spacing w:before="1"/>
        <w:rPr>
          <w:rFonts w:ascii="Arial" w:hAnsi="Arial"/>
          <w:sz w:val="24"/>
        </w:rPr>
      </w:pPr>
      <w:r>
        <w:rPr>
          <w:rFonts w:ascii="Arial" w:hAnsi="Arial"/>
          <w:w w:val="80"/>
          <w:sz w:val="24"/>
        </w:rPr>
        <w:t xml:space="preserve">La reactivación de sociedades, precisando que solo </w:t>
      </w:r>
      <w:r w:rsidRPr="00C9483C">
        <w:rPr>
          <w:rFonts w:ascii="Arial" w:hAnsi="Arial"/>
          <w:w w:val="80"/>
          <w:sz w:val="24"/>
        </w:rPr>
        <w:t>procede si no se ha inscrito la cancelación definitiva en el Registro Mercantil.</w:t>
      </w:r>
    </w:p>
    <w:p w14:paraId="634089E6" w14:textId="77777777" w:rsidR="005B4BA9" w:rsidRDefault="005B4BA9">
      <w:pPr>
        <w:pStyle w:val="Textoindependiente"/>
      </w:pPr>
    </w:p>
    <w:p w14:paraId="3DF7186B" w14:textId="77777777" w:rsidR="005B4BA9" w:rsidRDefault="005B4BA9">
      <w:pPr>
        <w:pStyle w:val="Textoindependiente"/>
        <w:spacing w:before="27"/>
      </w:pPr>
    </w:p>
    <w:p w14:paraId="15931E2A" w14:textId="6E68DBD8" w:rsidR="00C9483C" w:rsidRDefault="00C9483C" w:rsidP="00C9483C">
      <w:pPr>
        <w:pStyle w:val="Ttulo2"/>
        <w:spacing w:before="1"/>
      </w:pPr>
      <w:r>
        <w:rPr>
          <w:color w:val="001F5F"/>
          <w:w w:val="80"/>
        </w:rPr>
        <w:lastRenderedPageBreak/>
        <w:t>Reactivación</w:t>
      </w:r>
      <w:r>
        <w:rPr>
          <w:color w:val="001F5F"/>
          <w:spacing w:val="-2"/>
          <w:w w:val="80"/>
        </w:rPr>
        <w:t>:</w:t>
      </w:r>
    </w:p>
    <w:p w14:paraId="47F8F631" w14:textId="77777777" w:rsidR="00C9483C" w:rsidRDefault="00C9483C" w:rsidP="00C9483C">
      <w:pPr>
        <w:pStyle w:val="Textoindependiente"/>
        <w:spacing w:before="27"/>
        <w:rPr>
          <w:rFonts w:ascii="Arial"/>
          <w:b/>
        </w:rPr>
      </w:pPr>
    </w:p>
    <w:p w14:paraId="5F9CAC40" w14:textId="5FA7E667" w:rsidR="00C9483C" w:rsidRDefault="00C9483C" w:rsidP="00C9483C">
      <w:pPr>
        <w:tabs>
          <w:tab w:val="left" w:pos="721"/>
        </w:tabs>
        <w:spacing w:line="254" w:lineRule="auto"/>
        <w:ind w:right="144"/>
        <w:rPr>
          <w:w w:val="80"/>
          <w:sz w:val="24"/>
        </w:rPr>
      </w:pPr>
      <w:r>
        <w:rPr>
          <w:w w:val="80"/>
          <w:sz w:val="24"/>
        </w:rPr>
        <w:t>Requisitos principales:</w:t>
      </w:r>
    </w:p>
    <w:p w14:paraId="4568485B" w14:textId="1751A59F" w:rsidR="00C9483C" w:rsidRPr="00C9483C" w:rsidRDefault="00C9483C" w:rsidP="00C9483C">
      <w:pPr>
        <w:pStyle w:val="Prrafodelista"/>
        <w:numPr>
          <w:ilvl w:val="0"/>
          <w:numId w:val="12"/>
        </w:numPr>
        <w:tabs>
          <w:tab w:val="left" w:pos="721"/>
        </w:tabs>
        <w:spacing w:line="254" w:lineRule="auto"/>
        <w:ind w:right="144"/>
        <w:rPr>
          <w:w w:val="80"/>
        </w:rPr>
      </w:pPr>
      <w:r w:rsidRPr="00C9483C">
        <w:rPr>
          <w:w w:val="80"/>
        </w:rPr>
        <w:t>Convocatoria y resolución de la junta general de socios o accionistas.</w:t>
      </w:r>
    </w:p>
    <w:p w14:paraId="137BBD0B" w14:textId="302A0629" w:rsidR="00C9483C" w:rsidRPr="00C9483C" w:rsidRDefault="00C9483C" w:rsidP="00C9483C">
      <w:pPr>
        <w:pStyle w:val="Prrafodelista"/>
        <w:numPr>
          <w:ilvl w:val="0"/>
          <w:numId w:val="12"/>
        </w:numPr>
        <w:tabs>
          <w:tab w:val="left" w:pos="721"/>
        </w:tabs>
        <w:spacing w:line="254" w:lineRule="auto"/>
        <w:ind w:right="144"/>
        <w:rPr>
          <w:w w:val="80"/>
        </w:rPr>
      </w:pPr>
      <w:r w:rsidRPr="00C9483C">
        <w:rPr>
          <w:w w:val="80"/>
        </w:rPr>
        <w:t>Acreditar que se han superado las causas que motivaron la disolución (ejemplo: capitalización de pérdidas, regularización de obligaciones).</w:t>
      </w:r>
    </w:p>
    <w:p w14:paraId="473EED96" w14:textId="573B11FC" w:rsidR="00C9483C" w:rsidRDefault="00C9483C" w:rsidP="00C9483C">
      <w:pPr>
        <w:pStyle w:val="Prrafodelista"/>
        <w:numPr>
          <w:ilvl w:val="0"/>
          <w:numId w:val="12"/>
        </w:numPr>
        <w:tabs>
          <w:tab w:val="left" w:pos="721"/>
        </w:tabs>
        <w:spacing w:line="254" w:lineRule="auto"/>
        <w:ind w:right="144"/>
        <w:rPr>
          <w:w w:val="80"/>
        </w:rPr>
      </w:pPr>
      <w:r w:rsidRPr="00C9483C">
        <w:rPr>
          <w:w w:val="80"/>
        </w:rPr>
        <w:t>Inscripción de la resolución en el Registro Mercantil y notificación a la SCVS.</w:t>
      </w:r>
    </w:p>
    <w:p w14:paraId="102DC824" w14:textId="1BEB12D6" w:rsidR="00C9483C" w:rsidRDefault="00C9483C" w:rsidP="00C9483C">
      <w:pPr>
        <w:tabs>
          <w:tab w:val="left" w:pos="721"/>
        </w:tabs>
        <w:spacing w:line="254" w:lineRule="auto"/>
        <w:ind w:right="144"/>
        <w:rPr>
          <w:w w:val="80"/>
        </w:rPr>
      </w:pPr>
      <w:r>
        <w:rPr>
          <w:w w:val="80"/>
        </w:rPr>
        <w:t>Efectos:</w:t>
      </w:r>
    </w:p>
    <w:p w14:paraId="0AB74331" w14:textId="3E8633E0" w:rsidR="00C9483C" w:rsidRPr="00C9483C" w:rsidRDefault="00C9483C" w:rsidP="00C9483C">
      <w:pPr>
        <w:pStyle w:val="Prrafodelista"/>
        <w:numPr>
          <w:ilvl w:val="0"/>
          <w:numId w:val="13"/>
        </w:numPr>
        <w:tabs>
          <w:tab w:val="left" w:pos="721"/>
        </w:tabs>
        <w:spacing w:line="254" w:lineRule="auto"/>
        <w:ind w:right="144"/>
        <w:rPr>
          <w:w w:val="80"/>
        </w:rPr>
      </w:pPr>
      <w:r w:rsidRPr="00C9483C">
        <w:rPr>
          <w:w w:val="80"/>
        </w:rPr>
        <w:t>La sociedad mantiene su personalidad jurídica</w:t>
      </w:r>
      <w:r>
        <w:rPr>
          <w:w w:val="80"/>
        </w:rPr>
        <w:t>.</w:t>
      </w:r>
    </w:p>
    <w:p w14:paraId="1C53C6E0" w14:textId="7986DCCF" w:rsidR="00C9483C" w:rsidRPr="00C9483C" w:rsidRDefault="00C9483C" w:rsidP="00C9483C">
      <w:pPr>
        <w:pStyle w:val="Prrafodelista"/>
        <w:numPr>
          <w:ilvl w:val="0"/>
          <w:numId w:val="13"/>
        </w:numPr>
        <w:tabs>
          <w:tab w:val="left" w:pos="721"/>
        </w:tabs>
        <w:spacing w:line="254" w:lineRule="auto"/>
        <w:ind w:right="144"/>
        <w:rPr>
          <w:w w:val="80"/>
        </w:rPr>
      </w:pPr>
      <w:r w:rsidRPr="00C9483C">
        <w:rPr>
          <w:w w:val="80"/>
        </w:rPr>
        <w:t>Se reactivan los órganos de administración con todas sus facultades.</w:t>
      </w:r>
    </w:p>
    <w:p w14:paraId="243E5537" w14:textId="55014369" w:rsidR="00C9483C" w:rsidRPr="00C9483C" w:rsidRDefault="00C9483C" w:rsidP="00C9483C">
      <w:pPr>
        <w:pStyle w:val="Prrafodelista"/>
        <w:numPr>
          <w:ilvl w:val="0"/>
          <w:numId w:val="13"/>
        </w:numPr>
        <w:tabs>
          <w:tab w:val="left" w:pos="721"/>
        </w:tabs>
        <w:spacing w:line="254" w:lineRule="auto"/>
        <w:ind w:right="144"/>
        <w:rPr>
          <w:w w:val="80"/>
        </w:rPr>
      </w:pPr>
      <w:r w:rsidRPr="00C9483C">
        <w:rPr>
          <w:w w:val="80"/>
        </w:rPr>
        <w:t>Se protege el patrimonio de los socios y acreedores, evitando una liquidación innecesaria.</w:t>
      </w:r>
    </w:p>
    <w:p w14:paraId="2C53E759" w14:textId="77777777" w:rsidR="00C9483C" w:rsidRDefault="00C9483C">
      <w:pPr>
        <w:pStyle w:val="Ttulo2"/>
        <w:spacing w:before="1"/>
        <w:rPr>
          <w:color w:val="001F5F"/>
          <w:w w:val="80"/>
        </w:rPr>
      </w:pPr>
    </w:p>
    <w:p w14:paraId="4B709A56" w14:textId="34A4EBAC" w:rsidR="005B4BA9" w:rsidRDefault="00C9483C">
      <w:pPr>
        <w:pStyle w:val="Ttulo2"/>
        <w:spacing w:before="1"/>
      </w:pPr>
      <w:r>
        <w:rPr>
          <w:color w:val="001F5F"/>
          <w:w w:val="80"/>
        </w:rPr>
        <w:br/>
      </w:r>
      <w:r w:rsidR="0019584D">
        <w:rPr>
          <w:color w:val="001F5F"/>
          <w:w w:val="80"/>
        </w:rPr>
        <w:t>Imp</w:t>
      </w:r>
      <w:r>
        <w:rPr>
          <w:color w:val="001F5F"/>
          <w:w w:val="80"/>
        </w:rPr>
        <w:t>ortancia práctica</w:t>
      </w:r>
      <w:r w:rsidR="0019584D">
        <w:rPr>
          <w:color w:val="001F5F"/>
          <w:spacing w:val="-2"/>
          <w:w w:val="80"/>
        </w:rPr>
        <w:t>:</w:t>
      </w:r>
    </w:p>
    <w:p w14:paraId="39DDAA70" w14:textId="77777777" w:rsidR="005B4BA9" w:rsidRDefault="005B4BA9">
      <w:pPr>
        <w:pStyle w:val="Textoindependiente"/>
        <w:spacing w:before="27"/>
        <w:rPr>
          <w:rFonts w:ascii="Arial"/>
          <w:b/>
        </w:rPr>
      </w:pPr>
    </w:p>
    <w:p w14:paraId="300502C3" w14:textId="27F9439B" w:rsidR="00C9483C" w:rsidRPr="00C9483C" w:rsidRDefault="00C9483C" w:rsidP="00C9483C">
      <w:pPr>
        <w:pStyle w:val="Prrafodelista"/>
        <w:numPr>
          <w:ilvl w:val="0"/>
          <w:numId w:val="2"/>
        </w:numPr>
        <w:tabs>
          <w:tab w:val="left" w:pos="721"/>
        </w:tabs>
        <w:spacing w:line="254" w:lineRule="auto"/>
        <w:ind w:right="144"/>
        <w:rPr>
          <w:w w:val="80"/>
          <w:sz w:val="24"/>
        </w:rPr>
      </w:pPr>
      <w:r w:rsidRPr="00C9483C">
        <w:rPr>
          <w:w w:val="80"/>
          <w:sz w:val="24"/>
        </w:rPr>
        <w:t>Para los socios: evita la pérdida total de su inversión y les permite continuar con el negocio una vez superada la crisis.</w:t>
      </w:r>
    </w:p>
    <w:p w14:paraId="1B842C65" w14:textId="599AB74E" w:rsidR="00C9483C" w:rsidRPr="00C9483C" w:rsidRDefault="00C9483C" w:rsidP="00C9483C">
      <w:pPr>
        <w:pStyle w:val="Prrafodelista"/>
        <w:numPr>
          <w:ilvl w:val="0"/>
          <w:numId w:val="2"/>
        </w:numPr>
        <w:tabs>
          <w:tab w:val="left" w:pos="721"/>
        </w:tabs>
        <w:spacing w:line="254" w:lineRule="auto"/>
        <w:ind w:right="144"/>
        <w:rPr>
          <w:w w:val="80"/>
          <w:sz w:val="24"/>
        </w:rPr>
      </w:pPr>
      <w:r w:rsidRPr="00C9483C">
        <w:rPr>
          <w:w w:val="80"/>
          <w:sz w:val="24"/>
        </w:rPr>
        <w:t>Para la empresa: facilita la recuperación de contratos, permisos y licencias que se habrían extinguido en liquidación.</w:t>
      </w:r>
    </w:p>
    <w:p w14:paraId="59ED88F7" w14:textId="57606CC1" w:rsidR="005B4BA9" w:rsidRDefault="00C9483C" w:rsidP="00C9483C">
      <w:pPr>
        <w:pStyle w:val="Prrafodelista"/>
        <w:numPr>
          <w:ilvl w:val="0"/>
          <w:numId w:val="2"/>
        </w:numPr>
        <w:tabs>
          <w:tab w:val="left" w:pos="721"/>
        </w:tabs>
        <w:spacing w:line="254" w:lineRule="auto"/>
        <w:ind w:right="144"/>
      </w:pPr>
      <w:r w:rsidRPr="00C9483C">
        <w:rPr>
          <w:w w:val="80"/>
          <w:sz w:val="24"/>
        </w:rPr>
        <w:t>Para la economía nacional: fomenta la continuidad de las unidades productivas, protege empleos y contribuye a la estabilidad del tejido empresarial.</w:t>
      </w:r>
    </w:p>
    <w:p w14:paraId="08AC4340" w14:textId="77777777" w:rsidR="005B4BA9" w:rsidRDefault="005B4BA9">
      <w:pPr>
        <w:pStyle w:val="Textoindependiente"/>
      </w:pPr>
    </w:p>
    <w:p w14:paraId="539CA7B8" w14:textId="77777777" w:rsidR="005B4BA9" w:rsidRDefault="005B4BA9">
      <w:pPr>
        <w:pStyle w:val="Textoindependiente"/>
        <w:spacing w:before="34"/>
      </w:pPr>
    </w:p>
    <w:p w14:paraId="3BDB23E6" w14:textId="77777777" w:rsidR="005B4BA9" w:rsidRDefault="0019584D">
      <w:pPr>
        <w:pStyle w:val="Ttulo2"/>
        <w:spacing w:before="1"/>
      </w:pPr>
      <w:r>
        <w:rPr>
          <w:color w:val="001F5F"/>
          <w:spacing w:val="-2"/>
          <w:w w:val="90"/>
        </w:rPr>
        <w:t>Recomendaciones:</w:t>
      </w:r>
    </w:p>
    <w:p w14:paraId="60FCF12A" w14:textId="77777777" w:rsidR="005B4BA9" w:rsidRDefault="005B4BA9">
      <w:pPr>
        <w:pStyle w:val="Textoindependiente"/>
        <w:spacing w:before="26"/>
        <w:rPr>
          <w:rFonts w:ascii="Arial"/>
          <w:b/>
        </w:rPr>
      </w:pPr>
    </w:p>
    <w:p w14:paraId="214EF097" w14:textId="72ABA2C5" w:rsidR="00C9483C" w:rsidRPr="00C9483C" w:rsidRDefault="00C9483C" w:rsidP="00C9483C">
      <w:pPr>
        <w:pStyle w:val="Prrafodelista"/>
        <w:numPr>
          <w:ilvl w:val="0"/>
          <w:numId w:val="1"/>
        </w:numPr>
        <w:tabs>
          <w:tab w:val="left" w:pos="719"/>
          <w:tab w:val="left" w:pos="721"/>
        </w:tabs>
        <w:spacing w:line="259" w:lineRule="auto"/>
        <w:ind w:right="149"/>
        <w:rPr>
          <w:w w:val="85"/>
          <w:sz w:val="24"/>
        </w:rPr>
      </w:pPr>
      <w:r>
        <w:rPr>
          <w:w w:val="85"/>
          <w:sz w:val="24"/>
        </w:rPr>
        <w:t>L</w:t>
      </w:r>
      <w:r w:rsidRPr="00C9483C">
        <w:rPr>
          <w:w w:val="85"/>
          <w:sz w:val="24"/>
        </w:rPr>
        <w:t>levar un control financiero que permita detectar oportunamente pérdidas que puedan generar causales de disolución.</w:t>
      </w:r>
    </w:p>
    <w:p w14:paraId="11B1A226" w14:textId="752FC96A" w:rsidR="00C9483C" w:rsidRPr="00C9483C" w:rsidRDefault="00C9483C" w:rsidP="00C9483C">
      <w:pPr>
        <w:pStyle w:val="Prrafodelista"/>
        <w:numPr>
          <w:ilvl w:val="0"/>
          <w:numId w:val="1"/>
        </w:numPr>
        <w:tabs>
          <w:tab w:val="left" w:pos="719"/>
          <w:tab w:val="left" w:pos="721"/>
        </w:tabs>
        <w:spacing w:line="259" w:lineRule="auto"/>
        <w:ind w:right="149"/>
        <w:rPr>
          <w:w w:val="85"/>
          <w:sz w:val="24"/>
        </w:rPr>
      </w:pPr>
      <w:r>
        <w:rPr>
          <w:w w:val="85"/>
          <w:sz w:val="24"/>
        </w:rPr>
        <w:t>C</w:t>
      </w:r>
      <w:r w:rsidRPr="00C9483C">
        <w:rPr>
          <w:w w:val="85"/>
          <w:sz w:val="24"/>
        </w:rPr>
        <w:t>apitalizar deudas o transformar la compañía antes de que se configure una causal.</w:t>
      </w:r>
    </w:p>
    <w:p w14:paraId="1423EFD4" w14:textId="1336B1A2" w:rsidR="00C9483C" w:rsidRPr="00C9483C" w:rsidRDefault="00C9483C" w:rsidP="00C9483C">
      <w:pPr>
        <w:pStyle w:val="Prrafodelista"/>
        <w:numPr>
          <w:ilvl w:val="0"/>
          <w:numId w:val="1"/>
        </w:numPr>
        <w:tabs>
          <w:tab w:val="left" w:pos="719"/>
          <w:tab w:val="left" w:pos="721"/>
        </w:tabs>
        <w:spacing w:line="259" w:lineRule="auto"/>
        <w:ind w:right="149"/>
        <w:rPr>
          <w:w w:val="85"/>
          <w:sz w:val="24"/>
        </w:rPr>
      </w:pPr>
      <w:r>
        <w:rPr>
          <w:w w:val="85"/>
          <w:sz w:val="24"/>
        </w:rPr>
        <w:t>C</w:t>
      </w:r>
      <w:r w:rsidRPr="00C9483C">
        <w:rPr>
          <w:w w:val="85"/>
          <w:sz w:val="24"/>
        </w:rPr>
        <w:t>ontar con un equipo legal y contable para sustentar ante la SCVS la superación de la causal y presentar la documentación idónea.</w:t>
      </w:r>
    </w:p>
    <w:p w14:paraId="4DA3FFEA" w14:textId="483E1BC0" w:rsidR="005B4BA9" w:rsidRDefault="00C9483C" w:rsidP="00C9483C">
      <w:pPr>
        <w:pStyle w:val="Prrafodelista"/>
        <w:numPr>
          <w:ilvl w:val="0"/>
          <w:numId w:val="1"/>
        </w:numPr>
        <w:tabs>
          <w:tab w:val="left" w:pos="719"/>
          <w:tab w:val="left" w:pos="721"/>
        </w:tabs>
        <w:spacing w:line="259" w:lineRule="auto"/>
        <w:ind w:right="149"/>
      </w:pPr>
      <w:r>
        <w:rPr>
          <w:w w:val="85"/>
          <w:sz w:val="24"/>
        </w:rPr>
        <w:t>C</w:t>
      </w:r>
      <w:r w:rsidRPr="00C9483C">
        <w:rPr>
          <w:w w:val="85"/>
          <w:sz w:val="24"/>
        </w:rPr>
        <w:t>omunicar a socios, trabajadores y acreedores los pasos del proceso para generar confianza en la gestión societaria.</w:t>
      </w:r>
    </w:p>
    <w:p w14:paraId="279DA141" w14:textId="77777777" w:rsidR="005B4BA9" w:rsidRDefault="005B4BA9">
      <w:pPr>
        <w:pStyle w:val="Textoindependiente"/>
        <w:spacing w:before="180"/>
      </w:pPr>
    </w:p>
    <w:p w14:paraId="65400E02" w14:textId="1B52B1DC" w:rsidR="0019584D" w:rsidRDefault="0019584D">
      <w:pPr>
        <w:pStyle w:val="Textoindependiente"/>
        <w:ind w:left="2"/>
        <w:rPr>
          <w:spacing w:val="-2"/>
          <w:w w:val="80"/>
        </w:rPr>
      </w:pPr>
      <w:r>
        <w:rPr>
          <w:rFonts w:ascii="Arial" w:hAnsi="Arial"/>
          <w:b/>
          <w:color w:val="001F5F"/>
          <w:w w:val="80"/>
        </w:rPr>
        <w:t>Fuente:</w:t>
      </w:r>
      <w:r>
        <w:rPr>
          <w:rFonts w:ascii="Arial" w:hAnsi="Arial"/>
          <w:b/>
          <w:color w:val="001F5F"/>
          <w:spacing w:val="-2"/>
        </w:rPr>
        <w:t xml:space="preserve"> </w:t>
      </w:r>
      <w:r w:rsidR="00C9483C" w:rsidRPr="00C9483C">
        <w:rPr>
          <w:w w:val="80"/>
        </w:rPr>
        <w:t>Asamblea Nacional del Ecuador. (1999). Ley de Compañías. Registro Oficial No. 312, 5 de noviembre de 1999. Reformas vigentes hasta el Suplemento del Registro Oficial No. 269, 15 de marzo de 2023. Quito, Ecuador.</w:t>
      </w:r>
    </w:p>
    <w:p w14:paraId="7AB841D6" w14:textId="068FD2B8" w:rsidR="005B4BA9" w:rsidRDefault="005B4BA9" w:rsidP="00AB0779">
      <w:bookmarkStart w:id="0" w:name="_GoBack"/>
      <w:bookmarkEnd w:id="0"/>
    </w:p>
    <w:sectPr w:rsidR="005B4BA9">
      <w:footerReference w:type="default" r:id="rId11"/>
      <w:pgSz w:w="11910" w:h="16840"/>
      <w:pgMar w:top="1320" w:right="1559" w:bottom="1200" w:left="170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39CA52" w14:textId="77777777" w:rsidR="00914EFA" w:rsidRDefault="0019584D">
      <w:r>
        <w:separator/>
      </w:r>
    </w:p>
  </w:endnote>
  <w:endnote w:type="continuationSeparator" w:id="0">
    <w:p w14:paraId="4456C18D" w14:textId="77777777" w:rsidR="00914EFA" w:rsidRDefault="00195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A0018" w14:textId="77777777" w:rsidR="005B4BA9" w:rsidRDefault="0019584D">
    <w:pPr>
      <w:pStyle w:val="Textoindependiente"/>
      <w:spacing w:line="14" w:lineRule="auto"/>
      <w:rPr>
        <w:sz w:val="20"/>
      </w:rPr>
    </w:pPr>
    <w:r>
      <w:rPr>
        <w:noProof/>
        <w:sz w:val="20"/>
      </w:rPr>
      <mc:AlternateContent>
        <mc:Choice Requires="wps">
          <w:drawing>
            <wp:anchor distT="0" distB="0" distL="0" distR="0" simplePos="0" relativeHeight="487539712" behindDoc="1" locked="0" layoutInCell="1" allowOverlap="1" wp14:anchorId="19E680AC" wp14:editId="3AE315D6">
              <wp:simplePos x="0" y="0"/>
              <wp:positionH relativeFrom="page">
                <wp:posOffset>6373114</wp:posOffset>
              </wp:positionH>
              <wp:positionV relativeFrom="page">
                <wp:posOffset>9917379</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34C973EE" w14:textId="77777777" w:rsidR="005B4BA9" w:rsidRDefault="0019584D">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19E680AC" id="_x0000_t202" coordsize="21600,21600" o:spt="202" path="m,l,21600r21600,l21600,xe">
              <v:stroke joinstyle="miter"/>
              <v:path gradientshapeok="t" o:connecttype="rect"/>
            </v:shapetype>
            <v:shape id="Textbox 1" o:spid="_x0000_s1026" type="#_x0000_t202" style="position:absolute;margin-left:501.8pt;margin-top:780.9pt;width:12.6pt;height:13.05pt;z-index:-15776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apAEAAD4DAAAOAAAAZHJzL2Uyb0RvYy54bWysUsGO0zAQvSPxD5bv1GnRFhQ1XQErENIK&#10;kHb3AxzHbixij/G4Tfr3jJ20u4Ib4uKMM89v3puZ3e3kBnbSES34hq9XFWfaK+isPzT86fHzm/ec&#10;YZK+kwN43fCzRn67f/1qN4Zab6CHodOREYnHegwN71MKtRCoeu0kriBoT0kD0clE13gQXZQjsbtB&#10;bKpqK0aIXYigNCL9vZuTfF/4jdEqfTcGdWJDw0lbKmcsZ5tPsd/J+hBl6K1aZMh/UOGk9VT0SnUn&#10;k2THaP+iclZFQDBppcAJMMYqXTyQm3X1h5uHXgZdvFBzMFzbhP+PVn07/YjMdjQ7zrx0NKJHPaUW&#10;JrbOzRkD1oR5CIRK00eYMjAbxXAP6icSRLzAzA+Q0Bkzmejyl2wyekj9P197TkWYymzbqtpQRlFq&#10;vb159/YmlxXPj0PE9EWDYzloeKSRFgHydI9phl4gi5a5fFaVpnZaTLTQncnDSKNuOP46yqg5G756&#10;6mXei0sQL0F7CWIaPkHZnmzFw4djAmNL5Vxi5l0q05CK9mWh8ha8vBfU89rvfwMAAP//AwBQSwME&#10;FAAGAAgAAAAhAEffUXLgAAAADwEAAA8AAABkcnMvZG93bnJldi54bWxMT0FOwzAQvCPxB2uRuFG7&#10;RYQ0xKkqBCekijQcODqxm1iN1yF22/D7bk5wm9kZzc7km8n17GzGYD1KWC4EMION1xZbCV/V+0MK&#10;LESFWvUejYRfE2BT3N7kKtP+gqU572PLKARDpiR0MQ4Z56HpjFNh4QeDpB386FQkOrZcj+pC4a7n&#10;KyES7pRF+tCpwbx2pjnuT07C9hvLN/uzqz/LQ2mrai3wIzlKeX83bV+ARTPFPzPM9ak6FNSp9ifU&#10;gfXEhXhMyEvoKVnSitkjVimher6lz2vgRc7/7yiuAAAA//8DAFBLAQItABQABgAIAAAAIQC2gziS&#10;/gAAAOEBAAATAAAAAAAAAAAAAAAAAAAAAABbQ29udGVudF9UeXBlc10ueG1sUEsBAi0AFAAGAAgA&#10;AAAhADj9If/WAAAAlAEAAAsAAAAAAAAAAAAAAAAALwEAAF9yZWxzLy5yZWxzUEsBAi0AFAAGAAgA&#10;AAAhACUKH5qkAQAAPgMAAA4AAAAAAAAAAAAAAAAALgIAAGRycy9lMm9Eb2MueG1sUEsBAi0AFAAG&#10;AAgAAAAhAEffUXLgAAAADwEAAA8AAAAAAAAAAAAAAAAA/gMAAGRycy9kb3ducmV2LnhtbFBLBQYA&#10;AAAABAAEAPMAAAALBQAAAAA=&#10;" filled="f" stroked="f">
              <v:textbox inset="0,0,0,0">
                <w:txbxContent>
                  <w:p w14:paraId="34C973EE" w14:textId="77777777" w:rsidR="005B4BA9" w:rsidRDefault="0019584D">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A3B491" w14:textId="77777777" w:rsidR="00914EFA" w:rsidRDefault="0019584D">
      <w:r>
        <w:separator/>
      </w:r>
    </w:p>
  </w:footnote>
  <w:footnote w:type="continuationSeparator" w:id="0">
    <w:p w14:paraId="35F6EDEF" w14:textId="77777777" w:rsidR="00914EFA" w:rsidRDefault="001958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77405"/>
    <w:multiLevelType w:val="hybridMultilevel"/>
    <w:tmpl w:val="58923CA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0C803704"/>
    <w:multiLevelType w:val="hybridMultilevel"/>
    <w:tmpl w:val="9886D0F2"/>
    <w:lvl w:ilvl="0" w:tplc="4974683C">
      <w:numFmt w:val="bullet"/>
      <w:lvlText w:val=""/>
      <w:lvlJc w:val="left"/>
      <w:pPr>
        <w:ind w:left="722" w:hanging="360"/>
      </w:pPr>
      <w:rPr>
        <w:rFonts w:ascii="Symbol" w:eastAsia="Symbol" w:hAnsi="Symbol" w:cs="Symbol" w:hint="default"/>
        <w:b w:val="0"/>
        <w:bCs w:val="0"/>
        <w:i w:val="0"/>
        <w:iCs w:val="0"/>
        <w:spacing w:val="0"/>
        <w:w w:val="100"/>
        <w:sz w:val="24"/>
        <w:szCs w:val="24"/>
        <w:lang w:val="es-ES" w:eastAsia="en-US" w:bidi="ar-SA"/>
      </w:rPr>
    </w:lvl>
    <w:lvl w:ilvl="1" w:tplc="62FE0D9C">
      <w:numFmt w:val="bullet"/>
      <w:lvlText w:val="•"/>
      <w:lvlJc w:val="left"/>
      <w:pPr>
        <w:ind w:left="1512" w:hanging="360"/>
      </w:pPr>
      <w:rPr>
        <w:rFonts w:hint="default"/>
        <w:lang w:val="es-ES" w:eastAsia="en-US" w:bidi="ar-SA"/>
      </w:rPr>
    </w:lvl>
    <w:lvl w:ilvl="2" w:tplc="7EA62304">
      <w:numFmt w:val="bullet"/>
      <w:lvlText w:val="•"/>
      <w:lvlJc w:val="left"/>
      <w:pPr>
        <w:ind w:left="2305" w:hanging="360"/>
      </w:pPr>
      <w:rPr>
        <w:rFonts w:hint="default"/>
        <w:lang w:val="es-ES" w:eastAsia="en-US" w:bidi="ar-SA"/>
      </w:rPr>
    </w:lvl>
    <w:lvl w:ilvl="3" w:tplc="D74CF7E4">
      <w:numFmt w:val="bullet"/>
      <w:lvlText w:val="•"/>
      <w:lvlJc w:val="left"/>
      <w:pPr>
        <w:ind w:left="3098" w:hanging="360"/>
      </w:pPr>
      <w:rPr>
        <w:rFonts w:hint="default"/>
        <w:lang w:val="es-ES" w:eastAsia="en-US" w:bidi="ar-SA"/>
      </w:rPr>
    </w:lvl>
    <w:lvl w:ilvl="4" w:tplc="9D927F18">
      <w:numFmt w:val="bullet"/>
      <w:lvlText w:val="•"/>
      <w:lvlJc w:val="left"/>
      <w:pPr>
        <w:ind w:left="3890" w:hanging="360"/>
      </w:pPr>
      <w:rPr>
        <w:rFonts w:hint="default"/>
        <w:lang w:val="es-ES" w:eastAsia="en-US" w:bidi="ar-SA"/>
      </w:rPr>
    </w:lvl>
    <w:lvl w:ilvl="5" w:tplc="3006B010">
      <w:numFmt w:val="bullet"/>
      <w:lvlText w:val="•"/>
      <w:lvlJc w:val="left"/>
      <w:pPr>
        <w:ind w:left="4683" w:hanging="360"/>
      </w:pPr>
      <w:rPr>
        <w:rFonts w:hint="default"/>
        <w:lang w:val="es-ES" w:eastAsia="en-US" w:bidi="ar-SA"/>
      </w:rPr>
    </w:lvl>
    <w:lvl w:ilvl="6" w:tplc="DD163C80">
      <w:numFmt w:val="bullet"/>
      <w:lvlText w:val="•"/>
      <w:lvlJc w:val="left"/>
      <w:pPr>
        <w:ind w:left="5476" w:hanging="360"/>
      </w:pPr>
      <w:rPr>
        <w:rFonts w:hint="default"/>
        <w:lang w:val="es-ES" w:eastAsia="en-US" w:bidi="ar-SA"/>
      </w:rPr>
    </w:lvl>
    <w:lvl w:ilvl="7" w:tplc="4B18582A">
      <w:numFmt w:val="bullet"/>
      <w:lvlText w:val="•"/>
      <w:lvlJc w:val="left"/>
      <w:pPr>
        <w:ind w:left="6269" w:hanging="360"/>
      </w:pPr>
      <w:rPr>
        <w:rFonts w:hint="default"/>
        <w:lang w:val="es-ES" w:eastAsia="en-US" w:bidi="ar-SA"/>
      </w:rPr>
    </w:lvl>
    <w:lvl w:ilvl="8" w:tplc="CCFEEB4E">
      <w:numFmt w:val="bullet"/>
      <w:lvlText w:val="•"/>
      <w:lvlJc w:val="left"/>
      <w:pPr>
        <w:ind w:left="7061" w:hanging="360"/>
      </w:pPr>
      <w:rPr>
        <w:rFonts w:hint="default"/>
        <w:lang w:val="es-ES" w:eastAsia="en-US" w:bidi="ar-SA"/>
      </w:rPr>
    </w:lvl>
  </w:abstractNum>
  <w:abstractNum w:abstractNumId="2" w15:restartNumberingAfterBreak="0">
    <w:nsid w:val="0FA84C60"/>
    <w:multiLevelType w:val="multilevel"/>
    <w:tmpl w:val="66CC2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CB3021"/>
    <w:multiLevelType w:val="multilevel"/>
    <w:tmpl w:val="4C663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7B71BF"/>
    <w:multiLevelType w:val="multilevel"/>
    <w:tmpl w:val="0DACD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786112"/>
    <w:multiLevelType w:val="multilevel"/>
    <w:tmpl w:val="75965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C01911"/>
    <w:multiLevelType w:val="multilevel"/>
    <w:tmpl w:val="9544D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9A2A64"/>
    <w:multiLevelType w:val="hybridMultilevel"/>
    <w:tmpl w:val="E5E42076"/>
    <w:lvl w:ilvl="0" w:tplc="9B8E2886">
      <w:numFmt w:val="bullet"/>
      <w:lvlText w:val="-"/>
      <w:lvlJc w:val="left"/>
      <w:pPr>
        <w:ind w:left="362" w:hanging="360"/>
      </w:pPr>
      <w:rPr>
        <w:rFonts w:ascii="Arial MT" w:eastAsia="Arial MT" w:hAnsi="Arial MT" w:cs="Arial MT" w:hint="default"/>
      </w:rPr>
    </w:lvl>
    <w:lvl w:ilvl="1" w:tplc="300A0003" w:tentative="1">
      <w:start w:val="1"/>
      <w:numFmt w:val="bullet"/>
      <w:lvlText w:val="o"/>
      <w:lvlJc w:val="left"/>
      <w:pPr>
        <w:ind w:left="1082" w:hanging="360"/>
      </w:pPr>
      <w:rPr>
        <w:rFonts w:ascii="Courier New" w:hAnsi="Courier New" w:cs="Courier New" w:hint="default"/>
      </w:rPr>
    </w:lvl>
    <w:lvl w:ilvl="2" w:tplc="300A0005" w:tentative="1">
      <w:start w:val="1"/>
      <w:numFmt w:val="bullet"/>
      <w:lvlText w:val=""/>
      <w:lvlJc w:val="left"/>
      <w:pPr>
        <w:ind w:left="1802" w:hanging="360"/>
      </w:pPr>
      <w:rPr>
        <w:rFonts w:ascii="Wingdings" w:hAnsi="Wingdings" w:hint="default"/>
      </w:rPr>
    </w:lvl>
    <w:lvl w:ilvl="3" w:tplc="300A0001" w:tentative="1">
      <w:start w:val="1"/>
      <w:numFmt w:val="bullet"/>
      <w:lvlText w:val=""/>
      <w:lvlJc w:val="left"/>
      <w:pPr>
        <w:ind w:left="2522" w:hanging="360"/>
      </w:pPr>
      <w:rPr>
        <w:rFonts w:ascii="Symbol" w:hAnsi="Symbol" w:hint="default"/>
      </w:rPr>
    </w:lvl>
    <w:lvl w:ilvl="4" w:tplc="300A0003" w:tentative="1">
      <w:start w:val="1"/>
      <w:numFmt w:val="bullet"/>
      <w:lvlText w:val="o"/>
      <w:lvlJc w:val="left"/>
      <w:pPr>
        <w:ind w:left="3242" w:hanging="360"/>
      </w:pPr>
      <w:rPr>
        <w:rFonts w:ascii="Courier New" w:hAnsi="Courier New" w:cs="Courier New" w:hint="default"/>
      </w:rPr>
    </w:lvl>
    <w:lvl w:ilvl="5" w:tplc="300A0005" w:tentative="1">
      <w:start w:val="1"/>
      <w:numFmt w:val="bullet"/>
      <w:lvlText w:val=""/>
      <w:lvlJc w:val="left"/>
      <w:pPr>
        <w:ind w:left="3962" w:hanging="360"/>
      </w:pPr>
      <w:rPr>
        <w:rFonts w:ascii="Wingdings" w:hAnsi="Wingdings" w:hint="default"/>
      </w:rPr>
    </w:lvl>
    <w:lvl w:ilvl="6" w:tplc="300A0001" w:tentative="1">
      <w:start w:val="1"/>
      <w:numFmt w:val="bullet"/>
      <w:lvlText w:val=""/>
      <w:lvlJc w:val="left"/>
      <w:pPr>
        <w:ind w:left="4682" w:hanging="360"/>
      </w:pPr>
      <w:rPr>
        <w:rFonts w:ascii="Symbol" w:hAnsi="Symbol" w:hint="default"/>
      </w:rPr>
    </w:lvl>
    <w:lvl w:ilvl="7" w:tplc="300A0003" w:tentative="1">
      <w:start w:val="1"/>
      <w:numFmt w:val="bullet"/>
      <w:lvlText w:val="o"/>
      <w:lvlJc w:val="left"/>
      <w:pPr>
        <w:ind w:left="5402" w:hanging="360"/>
      </w:pPr>
      <w:rPr>
        <w:rFonts w:ascii="Courier New" w:hAnsi="Courier New" w:cs="Courier New" w:hint="default"/>
      </w:rPr>
    </w:lvl>
    <w:lvl w:ilvl="8" w:tplc="300A0005" w:tentative="1">
      <w:start w:val="1"/>
      <w:numFmt w:val="bullet"/>
      <w:lvlText w:val=""/>
      <w:lvlJc w:val="left"/>
      <w:pPr>
        <w:ind w:left="6122" w:hanging="360"/>
      </w:pPr>
      <w:rPr>
        <w:rFonts w:ascii="Wingdings" w:hAnsi="Wingdings" w:hint="default"/>
      </w:rPr>
    </w:lvl>
  </w:abstractNum>
  <w:abstractNum w:abstractNumId="8" w15:restartNumberingAfterBreak="0">
    <w:nsid w:val="42A73E92"/>
    <w:multiLevelType w:val="hybridMultilevel"/>
    <w:tmpl w:val="5C545932"/>
    <w:lvl w:ilvl="0" w:tplc="40DEFAEC">
      <w:start w:val="1"/>
      <w:numFmt w:val="decimal"/>
      <w:lvlText w:val="%1."/>
      <w:lvlJc w:val="left"/>
      <w:pPr>
        <w:ind w:left="722" w:hanging="360"/>
      </w:pPr>
      <w:rPr>
        <w:rFonts w:ascii="Arial MT" w:eastAsia="Arial MT" w:hAnsi="Arial MT" w:cs="Arial MT" w:hint="default"/>
        <w:b w:val="0"/>
        <w:bCs w:val="0"/>
        <w:i w:val="0"/>
        <w:iCs w:val="0"/>
        <w:spacing w:val="0"/>
        <w:w w:val="82"/>
        <w:sz w:val="24"/>
        <w:szCs w:val="24"/>
        <w:lang w:val="es-ES" w:eastAsia="en-US" w:bidi="ar-SA"/>
      </w:rPr>
    </w:lvl>
    <w:lvl w:ilvl="1" w:tplc="C6880AC4">
      <w:numFmt w:val="bullet"/>
      <w:lvlText w:val="•"/>
      <w:lvlJc w:val="left"/>
      <w:pPr>
        <w:ind w:left="1512" w:hanging="360"/>
      </w:pPr>
      <w:rPr>
        <w:rFonts w:hint="default"/>
        <w:lang w:val="es-ES" w:eastAsia="en-US" w:bidi="ar-SA"/>
      </w:rPr>
    </w:lvl>
    <w:lvl w:ilvl="2" w:tplc="6EA424A0">
      <w:numFmt w:val="bullet"/>
      <w:lvlText w:val="•"/>
      <w:lvlJc w:val="left"/>
      <w:pPr>
        <w:ind w:left="2305" w:hanging="360"/>
      </w:pPr>
      <w:rPr>
        <w:rFonts w:hint="default"/>
        <w:lang w:val="es-ES" w:eastAsia="en-US" w:bidi="ar-SA"/>
      </w:rPr>
    </w:lvl>
    <w:lvl w:ilvl="3" w:tplc="9056CE3C">
      <w:numFmt w:val="bullet"/>
      <w:lvlText w:val="•"/>
      <w:lvlJc w:val="left"/>
      <w:pPr>
        <w:ind w:left="3098" w:hanging="360"/>
      </w:pPr>
      <w:rPr>
        <w:rFonts w:hint="default"/>
        <w:lang w:val="es-ES" w:eastAsia="en-US" w:bidi="ar-SA"/>
      </w:rPr>
    </w:lvl>
    <w:lvl w:ilvl="4" w:tplc="6F4E65CA">
      <w:numFmt w:val="bullet"/>
      <w:lvlText w:val="•"/>
      <w:lvlJc w:val="left"/>
      <w:pPr>
        <w:ind w:left="3890" w:hanging="360"/>
      </w:pPr>
      <w:rPr>
        <w:rFonts w:hint="default"/>
        <w:lang w:val="es-ES" w:eastAsia="en-US" w:bidi="ar-SA"/>
      </w:rPr>
    </w:lvl>
    <w:lvl w:ilvl="5" w:tplc="58482A4A">
      <w:numFmt w:val="bullet"/>
      <w:lvlText w:val="•"/>
      <w:lvlJc w:val="left"/>
      <w:pPr>
        <w:ind w:left="4683" w:hanging="360"/>
      </w:pPr>
      <w:rPr>
        <w:rFonts w:hint="default"/>
        <w:lang w:val="es-ES" w:eastAsia="en-US" w:bidi="ar-SA"/>
      </w:rPr>
    </w:lvl>
    <w:lvl w:ilvl="6" w:tplc="C358A94E">
      <w:numFmt w:val="bullet"/>
      <w:lvlText w:val="•"/>
      <w:lvlJc w:val="left"/>
      <w:pPr>
        <w:ind w:left="5476" w:hanging="360"/>
      </w:pPr>
      <w:rPr>
        <w:rFonts w:hint="default"/>
        <w:lang w:val="es-ES" w:eastAsia="en-US" w:bidi="ar-SA"/>
      </w:rPr>
    </w:lvl>
    <w:lvl w:ilvl="7" w:tplc="B9521116">
      <w:numFmt w:val="bullet"/>
      <w:lvlText w:val="•"/>
      <w:lvlJc w:val="left"/>
      <w:pPr>
        <w:ind w:left="6269" w:hanging="360"/>
      </w:pPr>
      <w:rPr>
        <w:rFonts w:hint="default"/>
        <w:lang w:val="es-ES" w:eastAsia="en-US" w:bidi="ar-SA"/>
      </w:rPr>
    </w:lvl>
    <w:lvl w:ilvl="8" w:tplc="FEDA7B84">
      <w:numFmt w:val="bullet"/>
      <w:lvlText w:val="•"/>
      <w:lvlJc w:val="left"/>
      <w:pPr>
        <w:ind w:left="7061" w:hanging="360"/>
      </w:pPr>
      <w:rPr>
        <w:rFonts w:hint="default"/>
        <w:lang w:val="es-ES" w:eastAsia="en-US" w:bidi="ar-SA"/>
      </w:rPr>
    </w:lvl>
  </w:abstractNum>
  <w:abstractNum w:abstractNumId="9" w15:restartNumberingAfterBreak="0">
    <w:nsid w:val="443E378A"/>
    <w:multiLevelType w:val="hybridMultilevel"/>
    <w:tmpl w:val="C6CC1410"/>
    <w:lvl w:ilvl="0" w:tplc="9B8E2886">
      <w:numFmt w:val="bullet"/>
      <w:lvlText w:val="-"/>
      <w:lvlJc w:val="left"/>
      <w:pPr>
        <w:ind w:left="362" w:hanging="360"/>
      </w:pPr>
      <w:rPr>
        <w:rFonts w:ascii="Arial MT" w:eastAsia="Arial MT" w:hAnsi="Arial MT" w:cs="Arial MT"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4ED91BCA"/>
    <w:multiLevelType w:val="multilevel"/>
    <w:tmpl w:val="818E96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2C6D4B"/>
    <w:multiLevelType w:val="hybridMultilevel"/>
    <w:tmpl w:val="599C0770"/>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8"/>
  </w:num>
  <w:num w:numId="2">
    <w:abstractNumId w:val="1"/>
  </w:num>
  <w:num w:numId="3">
    <w:abstractNumId w:val="3"/>
  </w:num>
  <w:num w:numId="4">
    <w:abstractNumId w:val="6"/>
  </w:num>
  <w:num w:numId="5">
    <w:abstractNumId w:val="2"/>
  </w:num>
  <w:num w:numId="6">
    <w:abstractNumId w:val="10"/>
  </w:num>
  <w:num w:numId="7">
    <w:abstractNumId w:val="10"/>
    <w:lvlOverride w:ilvl="1">
      <w:lvl w:ilvl="1">
        <w:numFmt w:val="bullet"/>
        <w:lvlText w:val="o"/>
        <w:lvlJc w:val="left"/>
        <w:pPr>
          <w:tabs>
            <w:tab w:val="num" w:pos="1440"/>
          </w:tabs>
          <w:ind w:left="1440" w:hanging="360"/>
        </w:pPr>
        <w:rPr>
          <w:rFonts w:ascii="Courier New" w:hAnsi="Courier New" w:hint="default"/>
          <w:sz w:val="20"/>
        </w:rPr>
      </w:lvl>
    </w:lvlOverride>
  </w:num>
  <w:num w:numId="8">
    <w:abstractNumId w:val="4"/>
  </w:num>
  <w:num w:numId="9">
    <w:abstractNumId w:val="5"/>
  </w:num>
  <w:num w:numId="10">
    <w:abstractNumId w:val="7"/>
  </w:num>
  <w:num w:numId="11">
    <w:abstractNumId w:val="9"/>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BA9"/>
    <w:rsid w:val="0019584D"/>
    <w:rsid w:val="005B4BA9"/>
    <w:rsid w:val="00914EFA"/>
    <w:rsid w:val="00A715B2"/>
    <w:rsid w:val="00AB0779"/>
    <w:rsid w:val="00C9483C"/>
    <w:rsid w:val="00F222CB"/>
    <w:rsid w:val="00F230E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B3EF2"/>
  <w15:docId w15:val="{DE9B1F19-FD8A-4935-9D23-5860ADC3A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2"/>
      <w:outlineLvl w:val="0"/>
    </w:pPr>
    <w:rPr>
      <w:rFonts w:ascii="Arial" w:eastAsia="Arial" w:hAnsi="Arial" w:cs="Arial"/>
      <w:b/>
      <w:bCs/>
      <w:sz w:val="24"/>
      <w:szCs w:val="24"/>
    </w:rPr>
  </w:style>
  <w:style w:type="paragraph" w:styleId="Ttulo2">
    <w:name w:val="heading 2"/>
    <w:basedOn w:val="Normal"/>
    <w:uiPriority w:val="9"/>
    <w:unhideWhenUsed/>
    <w:qFormat/>
    <w:pPr>
      <w:ind w:left="2"/>
      <w:outlineLvl w:val="1"/>
    </w:pPr>
    <w:rPr>
      <w:rFonts w:ascii="Arial" w:eastAsia="Arial" w:hAnsi="Arial" w:cs="Arial"/>
      <w:b/>
      <w:bCs/>
      <w:sz w:val="24"/>
      <w:szCs w:val="24"/>
    </w:rPr>
  </w:style>
  <w:style w:type="paragraph" w:styleId="Ttulo3">
    <w:name w:val="heading 3"/>
    <w:basedOn w:val="Normal"/>
    <w:next w:val="Normal"/>
    <w:link w:val="Ttulo3Car"/>
    <w:uiPriority w:val="9"/>
    <w:semiHidden/>
    <w:unhideWhenUsed/>
    <w:qFormat/>
    <w:rsid w:val="0019584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19584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721" w:hanging="360"/>
    </w:pPr>
  </w:style>
  <w:style w:type="paragraph" w:customStyle="1" w:styleId="TableParagraph">
    <w:name w:val="Table Paragraph"/>
    <w:basedOn w:val="Normal"/>
    <w:uiPriority w:val="1"/>
    <w:qFormat/>
  </w:style>
  <w:style w:type="character" w:customStyle="1" w:styleId="Ttulo3Car">
    <w:name w:val="Título 3 Car"/>
    <w:basedOn w:val="Fuentedeprrafopredeter"/>
    <w:link w:val="Ttulo3"/>
    <w:uiPriority w:val="9"/>
    <w:semiHidden/>
    <w:rsid w:val="0019584D"/>
    <w:rPr>
      <w:rFonts w:asciiTheme="majorHAnsi" w:eastAsiaTheme="majorEastAsia" w:hAnsiTheme="majorHAnsi" w:cstheme="majorBidi"/>
      <w:color w:val="243F60" w:themeColor="accent1" w:themeShade="7F"/>
      <w:sz w:val="24"/>
      <w:szCs w:val="24"/>
      <w:lang w:val="es-ES"/>
    </w:rPr>
  </w:style>
  <w:style w:type="character" w:customStyle="1" w:styleId="Ttulo4Car">
    <w:name w:val="Título 4 Car"/>
    <w:basedOn w:val="Fuentedeprrafopredeter"/>
    <w:link w:val="Ttulo4"/>
    <w:uiPriority w:val="9"/>
    <w:semiHidden/>
    <w:rsid w:val="0019584D"/>
    <w:rPr>
      <w:rFonts w:asciiTheme="majorHAnsi" w:eastAsiaTheme="majorEastAsia" w:hAnsiTheme="majorHAnsi" w:cstheme="majorBidi"/>
      <w:i/>
      <w:iCs/>
      <w:color w:val="365F91" w:themeColor="accent1" w:themeShade="BF"/>
      <w:lang w:val="es-ES"/>
    </w:rPr>
  </w:style>
  <w:style w:type="paragraph" w:styleId="NormalWeb">
    <w:name w:val="Normal (Web)"/>
    <w:basedOn w:val="Normal"/>
    <w:uiPriority w:val="99"/>
    <w:semiHidden/>
    <w:unhideWhenUsed/>
    <w:rsid w:val="0019584D"/>
    <w:pPr>
      <w:widowControl/>
      <w:autoSpaceDE/>
      <w:autoSpaceDN/>
      <w:spacing w:before="100" w:beforeAutospacing="1" w:after="100" w:afterAutospacing="1"/>
    </w:pPr>
    <w:rPr>
      <w:rFonts w:ascii="Times New Roman" w:eastAsia="Times New Roman" w:hAnsi="Times New Roman" w:cs="Times New Roman"/>
      <w:sz w:val="24"/>
      <w:szCs w:val="24"/>
      <w:lang w:val="es-EC" w:eastAsia="es-EC"/>
    </w:rPr>
  </w:style>
  <w:style w:type="character" w:styleId="Textoennegrita">
    <w:name w:val="Strong"/>
    <w:basedOn w:val="Fuentedeprrafopredeter"/>
    <w:uiPriority w:val="22"/>
    <w:qFormat/>
    <w:rsid w:val="001958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00606">
      <w:bodyDiv w:val="1"/>
      <w:marLeft w:val="0"/>
      <w:marRight w:val="0"/>
      <w:marTop w:val="0"/>
      <w:marBottom w:val="0"/>
      <w:divBdr>
        <w:top w:val="none" w:sz="0" w:space="0" w:color="auto"/>
        <w:left w:val="none" w:sz="0" w:space="0" w:color="auto"/>
        <w:bottom w:val="none" w:sz="0" w:space="0" w:color="auto"/>
        <w:right w:val="none" w:sz="0" w:space="0" w:color="auto"/>
      </w:divBdr>
    </w:div>
    <w:div w:id="108940681">
      <w:bodyDiv w:val="1"/>
      <w:marLeft w:val="0"/>
      <w:marRight w:val="0"/>
      <w:marTop w:val="0"/>
      <w:marBottom w:val="0"/>
      <w:divBdr>
        <w:top w:val="none" w:sz="0" w:space="0" w:color="auto"/>
        <w:left w:val="none" w:sz="0" w:space="0" w:color="auto"/>
        <w:bottom w:val="none" w:sz="0" w:space="0" w:color="auto"/>
        <w:right w:val="none" w:sz="0" w:space="0" w:color="auto"/>
      </w:divBdr>
    </w:div>
    <w:div w:id="159318912">
      <w:bodyDiv w:val="1"/>
      <w:marLeft w:val="0"/>
      <w:marRight w:val="0"/>
      <w:marTop w:val="0"/>
      <w:marBottom w:val="0"/>
      <w:divBdr>
        <w:top w:val="none" w:sz="0" w:space="0" w:color="auto"/>
        <w:left w:val="none" w:sz="0" w:space="0" w:color="auto"/>
        <w:bottom w:val="none" w:sz="0" w:space="0" w:color="auto"/>
        <w:right w:val="none" w:sz="0" w:space="0" w:color="auto"/>
      </w:divBdr>
    </w:div>
    <w:div w:id="326130643">
      <w:bodyDiv w:val="1"/>
      <w:marLeft w:val="0"/>
      <w:marRight w:val="0"/>
      <w:marTop w:val="0"/>
      <w:marBottom w:val="0"/>
      <w:divBdr>
        <w:top w:val="none" w:sz="0" w:space="0" w:color="auto"/>
        <w:left w:val="none" w:sz="0" w:space="0" w:color="auto"/>
        <w:bottom w:val="none" w:sz="0" w:space="0" w:color="auto"/>
        <w:right w:val="none" w:sz="0" w:space="0" w:color="auto"/>
      </w:divBdr>
    </w:div>
    <w:div w:id="383600863">
      <w:bodyDiv w:val="1"/>
      <w:marLeft w:val="0"/>
      <w:marRight w:val="0"/>
      <w:marTop w:val="0"/>
      <w:marBottom w:val="0"/>
      <w:divBdr>
        <w:top w:val="none" w:sz="0" w:space="0" w:color="auto"/>
        <w:left w:val="none" w:sz="0" w:space="0" w:color="auto"/>
        <w:bottom w:val="none" w:sz="0" w:space="0" w:color="auto"/>
        <w:right w:val="none" w:sz="0" w:space="0" w:color="auto"/>
      </w:divBdr>
    </w:div>
    <w:div w:id="694426437">
      <w:bodyDiv w:val="1"/>
      <w:marLeft w:val="0"/>
      <w:marRight w:val="0"/>
      <w:marTop w:val="0"/>
      <w:marBottom w:val="0"/>
      <w:divBdr>
        <w:top w:val="none" w:sz="0" w:space="0" w:color="auto"/>
        <w:left w:val="none" w:sz="0" w:space="0" w:color="auto"/>
        <w:bottom w:val="none" w:sz="0" w:space="0" w:color="auto"/>
        <w:right w:val="none" w:sz="0" w:space="0" w:color="auto"/>
      </w:divBdr>
    </w:div>
    <w:div w:id="751664143">
      <w:bodyDiv w:val="1"/>
      <w:marLeft w:val="0"/>
      <w:marRight w:val="0"/>
      <w:marTop w:val="0"/>
      <w:marBottom w:val="0"/>
      <w:divBdr>
        <w:top w:val="none" w:sz="0" w:space="0" w:color="auto"/>
        <w:left w:val="none" w:sz="0" w:space="0" w:color="auto"/>
        <w:bottom w:val="none" w:sz="0" w:space="0" w:color="auto"/>
        <w:right w:val="none" w:sz="0" w:space="0" w:color="auto"/>
      </w:divBdr>
    </w:div>
    <w:div w:id="1178346945">
      <w:bodyDiv w:val="1"/>
      <w:marLeft w:val="0"/>
      <w:marRight w:val="0"/>
      <w:marTop w:val="0"/>
      <w:marBottom w:val="0"/>
      <w:divBdr>
        <w:top w:val="none" w:sz="0" w:space="0" w:color="auto"/>
        <w:left w:val="none" w:sz="0" w:space="0" w:color="auto"/>
        <w:bottom w:val="none" w:sz="0" w:space="0" w:color="auto"/>
        <w:right w:val="none" w:sz="0" w:space="0" w:color="auto"/>
      </w:divBdr>
    </w:div>
    <w:div w:id="1574240320">
      <w:bodyDiv w:val="1"/>
      <w:marLeft w:val="0"/>
      <w:marRight w:val="0"/>
      <w:marTop w:val="0"/>
      <w:marBottom w:val="0"/>
      <w:divBdr>
        <w:top w:val="none" w:sz="0" w:space="0" w:color="auto"/>
        <w:left w:val="none" w:sz="0" w:space="0" w:color="auto"/>
        <w:bottom w:val="none" w:sz="0" w:space="0" w:color="auto"/>
        <w:right w:val="none" w:sz="0" w:space="0" w:color="auto"/>
      </w:divBdr>
    </w:div>
    <w:div w:id="1670789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7CA20F048F08D4687FC55C33D4BA447" ma:contentTypeVersion="4" ma:contentTypeDescription="Crear nuevo documento." ma:contentTypeScope="" ma:versionID="cc5c86a0da778f1c95925ac3ca69037d">
  <xsd:schema xmlns:xsd="http://www.w3.org/2001/XMLSchema" xmlns:xs="http://www.w3.org/2001/XMLSchema" xmlns:p="http://schemas.microsoft.com/office/2006/metadata/properties" xmlns:ns3="ada9227b-45af-4233-890c-4f81e81c3800" targetNamespace="http://schemas.microsoft.com/office/2006/metadata/properties" ma:root="true" ma:fieldsID="8a63e506e58e5e4e2bfcfe7498a60d53" ns3:_="">
    <xsd:import namespace="ada9227b-45af-4233-890c-4f81e81c380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a9227b-45af-4233-890c-4f81e81c380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D70CF0-A0C7-4B65-913D-8A040E9BE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a9227b-45af-4233-890c-4f81e81c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7141A5-25ED-4941-B689-8F51733418AE}">
  <ds:schemaRefs>
    <ds:schemaRef ds:uri="http://schemas.microsoft.com/sharepoint/v3/contenttype/forms"/>
  </ds:schemaRefs>
</ds:datastoreItem>
</file>

<file path=customXml/itemProps3.xml><?xml version="1.0" encoding="utf-8"?>
<ds:datastoreItem xmlns:ds="http://schemas.openxmlformats.org/officeDocument/2006/customXml" ds:itemID="{C566BCB7-72A0-486B-8B03-441C0ADD2375}">
  <ds:schemaRefs>
    <ds:schemaRef ds:uri="http://purl.org/dc/terms/"/>
    <ds:schemaRef ds:uri="http://purl.org/dc/dcmitype/"/>
    <ds:schemaRef ds:uri="http://schemas.openxmlformats.org/package/2006/metadata/core-properties"/>
    <ds:schemaRef ds:uri="http://schemas.microsoft.com/office/infopath/2007/PartnerControls"/>
    <ds:schemaRef ds:uri="http://www.w3.org/XML/1998/namespace"/>
    <ds:schemaRef ds:uri="http://schemas.microsoft.com/office/2006/documentManagement/types"/>
    <ds:schemaRef ds:uri="ada9227b-45af-4233-890c-4f81e81c3800"/>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511</Words>
  <Characters>2815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Herrera Flores</dc:creator>
  <cp:lastModifiedBy>Daniel Quespaz Tipan</cp:lastModifiedBy>
  <cp:revision>4</cp:revision>
  <dcterms:created xsi:type="dcterms:W3CDTF">2025-09-09T19:41:00Z</dcterms:created>
  <dcterms:modified xsi:type="dcterms:W3CDTF">2025-09-10T14:24:00Z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2025-05-12T00:00:00Z</vt:filetime>
  </property>
  <property fmtid="{D5CDD505-2E9C-101B-9397-08002B2CF9AE}" pid="3" name="Creator">
    <vt:lpwstr>Microsoft® Word para Microsoft 365</vt:lpwstr>
  </property>
  <property fmtid="{D5CDD505-2E9C-101B-9397-08002B2CF9AE}" pid="4" name="LastSaved">
    <vt:filetime>2025-09-02T00:00:00Z</vt:filetime>
  </property>
  <property fmtid="{D5CDD505-2E9C-101B-9397-08002B2CF9AE}" pid="5" name="Producer">
    <vt:lpwstr>Microsoft® Word para Microsoft 365</vt:lpwstr>
  </property>
  <property fmtid="{D5CDD505-2E9C-101B-9397-08002B2CF9AE}" pid="6" name="ContentTypeId">
    <vt:lpwstr>0x01010087CA20F048F08D4687FC55C33D4BA447</vt:lpwstr>
  </property>
</Properties>
</file>